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Visual Merchandiser</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SOP-0209</w:t>
            </w:r>
          </w:p>
        </w:tc>
      </w:tr>
      <w:tr>
        <w:trPr/>
        <w:tc>
          <w:tcPr>
            <w:tcW w:w="2000" w:type="dxa"/>
            <w:noWrap/>
          </w:tcPr>
          <w:p>
            <w:pPr/>
            <w:r>
              <w:rPr>
                <w:b w:val="1"/>
                <w:bCs w:val="1"/>
                <w:shd w:val="clear" w:fill="FCE4EC"/>
              </w:rPr>
              <w:t xml:space="preserve">Kategori</w:t>
            </w:r>
          </w:p>
        </w:tc>
        <w:tc>
          <w:tcPr>
            <w:tcW w:w="3000" w:type="dxa"/>
            <w:noWrap/>
          </w:tcPr>
          <w:p>
            <w:pPr/>
            <w:r>
              <w:rPr/>
              <w:t xml:space="preserve">Pemasaran</w:t>
            </w:r>
          </w:p>
        </w:tc>
      </w:tr>
      <w:tr>
        <w:trPr/>
        <w:tc>
          <w:tcPr>
            <w:tcW w:w="2000" w:type="dxa"/>
            <w:noWrap/>
          </w:tcPr>
          <w:p>
            <w:pPr/>
            <w:r>
              <w:rPr>
                <w:b w:val="1"/>
                <w:bCs w:val="1"/>
                <w:shd w:val="clear" w:fill="FCE4EC"/>
              </w:rPr>
              <w:t xml:space="preserve">Tanggal</w:t>
            </w:r>
          </w:p>
        </w:tc>
        <w:tc>
          <w:tcPr>
            <w:tcW w:w="3000" w:type="dxa"/>
            <w:noWrap/>
          </w:tcPr>
          <w:p>
            <w:pPr/>
            <w:r>
              <w:rPr/>
              <w:t xml:space="preserve">03/08/2026</w:t>
            </w:r>
          </w:p>
        </w:tc>
      </w:tr>
    </w:tbl>
    <w:p/>
    <w:p/>
    <w:p>
      <w:pPr/>
      <w:r>
        <w:rPr>
          <w:color w:val="1A2744"/>
          <w:sz w:val="28"/>
          <w:szCs w:val="28"/>
          <w:b w:val="1"/>
          <w:bCs w:val="1"/>
        </w:rPr>
        <w:t xml:space="preserve">Tujuan</w:t>
      </w:r>
    </w:p>
    <w:p>
      <w:pPr/>
      <w:r>
        <w:rPr/>
        <w:t xml:space="preserve">SOP ini bertujuan untuk memberikan pedoman yang sistematis dan terstandar bagi seluruh tim visual merchandiser dalam merancang, mengeksekusi, serta mengevaluasi tampilan visual produk di area penjualan. Dengan adanya SOP ini, perusahaan diharapkan mampu meningkatkan daya tarik toko, memperkuat identitas merek, serta mendorong peningkatan penjualan melalui penataan produk yang efektif dan konsisten. Selain itu, SOP ini juga memastikan bahwa setiap aktivitas visual merchandising dilakukan secara efisien, terukur, dan sesuai dengan strategi pemasaran perusahaan serta standar operasional yang berlaku di Indonesia.</w:t>
      </w:r>
    </w:p>
    <w:p/>
    <w:p>
      <w:pPr/>
      <w:r>
        <w:rPr>
          <w:color w:val="1A2744"/>
          <w:sz w:val="28"/>
          <w:szCs w:val="28"/>
          <w:b w:val="1"/>
          <w:bCs w:val="1"/>
        </w:rPr>
        <w:t xml:space="preserve">Ruang Lingkup</w:t>
      </w:r>
    </w:p>
    <w:p>
      <w:pPr/>
      <w:r>
        <w:rPr/>
        <w:t xml:space="preserve">SOP ini berlaku untuk seluruh aktivitas visual merchandising di lingkungan perusahaan ritel, termasuk namun tidak terbatas pada penataan etalase, display produk di dalam toko, penggunaan signage promosi, serta pengelolaan materi visual lainnya. SOP ini mencakup proses perencanaan konsep visual, implementasi display, pemeliharaan tampilan, hingga evaluasi kinerja visual merchandising. SOP ini berlaku untuk seluruh karyawan yang terlibat dalam kegiatan merchandising, termasuk Visual Merchandiser, Store Manager, dan staf operasional toko di seluruh cabang perusahaan.</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Visual Merchandising</w:t>
            </w:r>
          </w:p>
        </w:tc>
        <w:tc>
          <w:tcPr>
            <w:tcW w:w="6000" w:type="dxa"/>
            <w:noWrap/>
          </w:tcPr>
          <w:p>
            <w:pPr/>
            <w:r>
              <w:rPr/>
              <w:t xml:space="preserve">Teknik dan strategi dalam menata produk serta elemen visual di toko untuk menarik perhatian pelanggan dan meningkatkan penjualan.</w:t>
            </w:r>
          </w:p>
        </w:tc>
      </w:tr>
      <w:tr>
        <w:trPr/>
        <w:tc>
          <w:tcPr>
            <w:tcW w:w="3000" w:type="dxa"/>
            <w:noWrap/>
          </w:tcPr>
          <w:p>
            <w:pPr/>
            <w:r>
              <w:rPr/>
              <w:t xml:space="preserve">Display Produk</w:t>
            </w:r>
          </w:p>
        </w:tc>
        <w:tc>
          <w:tcPr>
            <w:tcW w:w="6000" w:type="dxa"/>
            <w:noWrap/>
          </w:tcPr>
          <w:p>
            <w:pPr/>
            <w:r>
              <w:rPr/>
              <w:t xml:space="preserve">Penempatan dan pengaturan produk di area toko dengan tujuan estetika dan komersial.</w:t>
            </w:r>
          </w:p>
        </w:tc>
      </w:tr>
      <w:tr>
        <w:trPr/>
        <w:tc>
          <w:tcPr>
            <w:tcW w:w="3000" w:type="dxa"/>
            <w:noWrap/>
          </w:tcPr>
          <w:p>
            <w:pPr/>
            <w:r>
              <w:rPr/>
              <w:t xml:space="preserve">Planogram</w:t>
            </w:r>
          </w:p>
        </w:tc>
        <w:tc>
          <w:tcPr>
            <w:tcW w:w="6000" w:type="dxa"/>
            <w:noWrap/>
          </w:tcPr>
          <w:p>
            <w:pPr/>
            <w:r>
              <w:rPr/>
              <w:t xml:space="preserve">Diagram atau panduan visual yang menunjukkan tata letak produk di rak atau area display.</w:t>
            </w:r>
          </w:p>
        </w:tc>
      </w:tr>
      <w:tr>
        <w:trPr/>
        <w:tc>
          <w:tcPr>
            <w:tcW w:w="3000" w:type="dxa"/>
            <w:noWrap/>
          </w:tcPr>
          <w:p>
            <w:pPr/>
            <w:r>
              <w:rPr/>
              <w:t xml:space="preserve">Signage</w:t>
            </w:r>
          </w:p>
        </w:tc>
        <w:tc>
          <w:tcPr>
            <w:tcW w:w="6000" w:type="dxa"/>
            <w:noWrap/>
          </w:tcPr>
          <w:p>
            <w:pPr/>
            <w:r>
              <w:rPr/>
              <w:t xml:space="preserve">Media visual seperti poster, banner, atau label harga yang digunakan untuk menyampaikan informasi kepada pelanggan.</w:t>
            </w:r>
          </w:p>
        </w:tc>
      </w:tr>
      <w:tr>
        <w:trPr/>
        <w:tc>
          <w:tcPr>
            <w:tcW w:w="3000" w:type="dxa"/>
            <w:noWrap/>
          </w:tcPr>
          <w:p>
            <w:pPr/>
            <w:r>
              <w:rPr/>
              <w:t xml:space="preserve">Store Layout</w:t>
            </w:r>
          </w:p>
        </w:tc>
        <w:tc>
          <w:tcPr>
            <w:tcW w:w="6000" w:type="dxa"/>
            <w:noWrap/>
          </w:tcPr>
          <w:p>
            <w:pPr/>
            <w:r>
              <w:rPr/>
              <w:t xml:space="preserve">Susunan dan pengaturan ruang dalam toko untuk memaksimalkan alur pelanggan dan pengalaman berbelanja.</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Visual Merchandiser</w:t>
            </w:r>
          </w:p>
        </w:tc>
        <w:tc>
          <w:tcPr>
            <w:tcW w:w="6000" w:type="dxa"/>
            <w:noWrap/>
          </w:tcPr>
          <w:p>
            <w:pPr/>
            <w:r>
              <w:rPr/>
              <w:t xml:space="preserve">Merancang konsep display, mengimplementasikan penataan visual, serta memastikan konsistensi standar visual di seluruh area toko.</w:t>
            </w:r>
          </w:p>
        </w:tc>
      </w:tr>
      <w:tr>
        <w:trPr/>
        <w:tc>
          <w:tcPr>
            <w:tcW w:w="3000" w:type="dxa"/>
            <w:noWrap/>
          </w:tcPr>
          <w:p>
            <w:pPr/>
            <w:r>
              <w:rPr/>
              <w:t xml:space="preserve">Store Manager</w:t>
            </w:r>
          </w:p>
        </w:tc>
        <w:tc>
          <w:tcPr>
            <w:tcW w:w="6000" w:type="dxa"/>
            <w:noWrap/>
          </w:tcPr>
          <w:p>
            <w:pPr/>
            <w:r>
              <w:rPr/>
              <w:t xml:space="preserve">Mengawasi pelaksanaan visual merchandising di toko serta memastikan kesesuaian dengan strategi bisnis dan target penjualan.</w:t>
            </w:r>
          </w:p>
        </w:tc>
      </w:tr>
      <w:tr>
        <w:trPr/>
        <w:tc>
          <w:tcPr>
            <w:tcW w:w="3000" w:type="dxa"/>
            <w:noWrap/>
          </w:tcPr>
          <w:p>
            <w:pPr/>
            <w:r>
              <w:rPr/>
              <w:t xml:space="preserve">Tim Operasional Toko</w:t>
            </w:r>
          </w:p>
        </w:tc>
        <w:tc>
          <w:tcPr>
            <w:tcW w:w="6000" w:type="dxa"/>
            <w:noWrap/>
          </w:tcPr>
          <w:p>
            <w:pPr/>
            <w:r>
              <w:rPr/>
              <w:t xml:space="preserve">Membantu pelaksanaan display, menjaga kerapihan tampilan, serta melaporkan kondisi visual kepada Visual Merchandiser.</w:t>
            </w:r>
          </w:p>
        </w:tc>
      </w:tr>
      <w:tr>
        <w:trPr/>
        <w:tc>
          <w:tcPr>
            <w:tcW w:w="3000" w:type="dxa"/>
            <w:noWrap/>
          </w:tcPr>
          <w:p>
            <w:pPr/>
            <w:r>
              <w:rPr/>
              <w:t xml:space="preserve">Tim Pemasaran</w:t>
            </w:r>
          </w:p>
        </w:tc>
        <w:tc>
          <w:tcPr>
            <w:tcW w:w="6000" w:type="dxa"/>
            <w:noWrap/>
          </w:tcPr>
          <w:p>
            <w:pPr/>
            <w:r>
              <w:rPr/>
              <w:t xml:space="preserve">Memberikan arahan terkait kampanye promosi dan branding yang harus diterapkan dalam visual merchandising.</w:t>
            </w:r>
          </w:p>
        </w:tc>
      </w:tr>
    </w:tbl>
    <w:p/>
    <w:p>
      <w:pPr/>
      <w:r>
        <w:rPr>
          <w:color w:val="1A2744"/>
          <w:sz w:val="28"/>
          <w:szCs w:val="28"/>
          <w:b w:val="1"/>
          <w:bCs w:val="1"/>
        </w:rPr>
        <w:t xml:space="preserve">Prosedur</w:t>
      </w:r>
    </w:p>
    <w:p>
      <w:pPr/>
      <w:r>
        <w:rPr>
          <w:color w:val="1A2744"/>
          <w:sz w:val="24"/>
          <w:szCs w:val="24"/>
          <w:b w:val="1"/>
          <w:bCs w:val="1"/>
        </w:rPr>
        <w:t xml:space="preserve">Tahap 1: Perencanaan Konsep Visual</w:t>
      </w:r>
    </w:p>
    <w:p>
      <w:pPr/>
      <w:r>
        <w:rPr/>
        <w:t xml:space="preserve">Tahap ini bertujuan untuk merancang konsep visual yang sesuai dengan strategi pemasaran dan identitas merek perusahaan.</w:t>
      </w:r>
    </w:p>
    <w:p>
      <w:pPr>
        <w:numPr>
          <w:ilvl w:val="0"/>
          <w:numId w:val="1"/>
        </w:numPr>
      </w:pPr>
      <w:r>
        <w:rPr/>
        <w:t xml:space="preserve">Menganalisis tren pasar, perilaku konsumen, dan data penjualan untuk menentukan konsep visual yang relevan.</w:t>
      </w:r>
    </w:p>
    <w:p>
      <w:pPr>
        <w:numPr>
          <w:ilvl w:val="0"/>
          <w:numId w:val="1"/>
        </w:numPr>
      </w:pPr>
      <w:r>
        <w:rPr/>
        <w:t xml:space="preserve">Menyusun tema display berdasarkan kalender promosi, musim, atau kampanye tertentu.</w:t>
      </w:r>
    </w:p>
    <w:p>
      <w:pPr>
        <w:numPr>
          <w:ilvl w:val="0"/>
          <w:numId w:val="1"/>
        </w:numPr>
      </w:pPr>
      <w:r>
        <w:rPr/>
        <w:t xml:space="preserve">Membuat desain awal dan planogram sebagai panduan implementasi di toko.</w:t>
      </w:r>
    </w:p>
    <w:p>
      <w:pPr/>
      <w:r>
        <w:rPr>
          <w:sz w:val="20"/>
          <w:szCs w:val="20"/>
          <w:i w:val="1"/>
          <w:iCs w:val="1"/>
        </w:rPr>
        <w:t xml:space="preserve">Penanggung Jawab: Visual Merchandiser</w:t>
      </w:r>
    </w:p>
    <w:p>
      <w:pPr/>
      <w:r>
        <w:rPr>
          <w:sz w:val="20"/>
          <w:szCs w:val="20"/>
          <w:i w:val="1"/>
          <w:iCs w:val="1"/>
        </w:rPr>
        <w:t xml:space="preserve">Dokumen: Rencana Visual Merchandising, Planogram Display, Kalender Promosi</w:t>
      </w:r>
    </w:p>
    <w:p/>
    <w:p>
      <w:pPr/>
      <w:r>
        <w:rPr>
          <w:color w:val="1A2744"/>
          <w:sz w:val="24"/>
          <w:szCs w:val="24"/>
          <w:b w:val="1"/>
          <w:bCs w:val="1"/>
        </w:rPr>
        <w:t xml:space="preserve">Tahap 2: Persiapan Material dan Area Display</w:t>
      </w:r>
    </w:p>
    <w:p>
      <w:pPr/>
      <w:r>
        <w:rPr/>
        <w:t xml:space="preserve">Tahap ini memastikan seluruh kebutuhan material dan area telah siap sebelum implementasi display dilakukan.</w:t>
      </w:r>
    </w:p>
    <w:p>
      <w:pPr>
        <w:numPr>
          <w:ilvl w:val="0"/>
          <w:numId w:val="1"/>
        </w:numPr>
      </w:pPr>
      <w:r>
        <w:rPr/>
        <w:t xml:space="preserve">Mengidentifikasi kebutuhan material seperti rak, manekin, signage, dan dekorasi pendukung.</w:t>
      </w:r>
    </w:p>
    <w:p>
      <w:pPr>
        <w:numPr>
          <w:ilvl w:val="0"/>
          <w:numId w:val="1"/>
        </w:numPr>
      </w:pPr>
      <w:r>
        <w:rPr/>
        <w:t xml:space="preserve">Berkoordinasi dengan tim operasional untuk menyiapkan area display sesuai planogram.</w:t>
      </w:r>
    </w:p>
    <w:p>
      <w:pPr>
        <w:numPr>
          <w:ilvl w:val="0"/>
          <w:numId w:val="1"/>
        </w:numPr>
      </w:pPr>
      <w:r>
        <w:rPr/>
        <w:t xml:space="preserve">Memastikan kebersihan dan kondisi area display dalam keadaan optimal.</w:t>
      </w:r>
    </w:p>
    <w:p>
      <w:pPr/>
      <w:r>
        <w:rPr>
          <w:sz w:val="20"/>
          <w:szCs w:val="20"/>
          <w:i w:val="1"/>
          <w:iCs w:val="1"/>
        </w:rPr>
        <w:t xml:space="preserve">Penanggung Jawab: Visual Merchandiser dan Tim Operasional</w:t>
      </w:r>
    </w:p>
    <w:p>
      <w:pPr/>
      <w:r>
        <w:rPr>
          <w:sz w:val="20"/>
          <w:szCs w:val="20"/>
          <w:i w:val="1"/>
          <w:iCs w:val="1"/>
        </w:rPr>
        <w:t xml:space="preserve">Dokumen: Checklist Persiapan Display, Daftar Material Visual, Laporan Kondisi Area</w:t>
      </w:r>
    </w:p>
    <w:p/>
    <w:p>
      <w:pPr/>
      <w:r>
        <w:rPr>
          <w:color w:val="1A2744"/>
          <w:sz w:val="24"/>
          <w:szCs w:val="24"/>
          <w:b w:val="1"/>
          <w:bCs w:val="1"/>
        </w:rPr>
        <w:t xml:space="preserve">Tahap 3: Implementasi Display</w:t>
      </w:r>
    </w:p>
    <w:p>
      <w:pPr/>
      <w:r>
        <w:rPr/>
        <w:t xml:space="preserve">Tahap pelaksanaan penataan produk dan elemen visual sesuai dengan konsep yang telah dirancang.</w:t>
      </w:r>
    </w:p>
    <w:p>
      <w:pPr>
        <w:numPr>
          <w:ilvl w:val="0"/>
          <w:numId w:val="1"/>
        </w:numPr>
      </w:pPr>
      <w:r>
        <w:rPr/>
        <w:t xml:space="preserve">Menata produk sesuai dengan planogram dan prinsip visual merchandising seperti warna, keseimbangan, dan fokus.</w:t>
      </w:r>
    </w:p>
    <w:p>
      <w:pPr>
        <w:numPr>
          <w:ilvl w:val="0"/>
          <w:numId w:val="1"/>
        </w:numPr>
      </w:pPr>
      <w:r>
        <w:rPr/>
        <w:t xml:space="preserve">Memasang signage dan materi promosi sesuai dengan panduan branding perusahaan.</w:t>
      </w:r>
    </w:p>
    <w:p>
      <w:pPr>
        <w:numPr>
          <w:ilvl w:val="0"/>
          <w:numId w:val="1"/>
        </w:numPr>
      </w:pPr>
      <w:r>
        <w:rPr/>
        <w:t xml:space="preserve">Melakukan pengecekan akhir untuk memastikan kesesuaian dengan standar visual yang telah ditetapkan.</w:t>
      </w:r>
    </w:p>
    <w:p>
      <w:pPr/>
      <w:r>
        <w:rPr>
          <w:sz w:val="20"/>
          <w:szCs w:val="20"/>
          <w:i w:val="1"/>
          <w:iCs w:val="1"/>
        </w:rPr>
        <w:t xml:space="preserve">Penanggung Jawab: Visual Merchandiser</w:t>
      </w:r>
    </w:p>
    <w:p>
      <w:pPr/>
      <w:r>
        <w:rPr>
          <w:sz w:val="20"/>
          <w:szCs w:val="20"/>
          <w:i w:val="1"/>
          <w:iCs w:val="1"/>
        </w:rPr>
        <w:t xml:space="preserve">Dokumen: Panduan Display, Planogram Final, Checklist Implementasi</w:t>
      </w:r>
    </w:p>
    <w:p/>
    <w:p>
      <w:pPr/>
      <w:r>
        <w:rPr>
          <w:color w:val="1A2744"/>
          <w:sz w:val="24"/>
          <w:szCs w:val="24"/>
          <w:b w:val="1"/>
          <w:bCs w:val="1"/>
        </w:rPr>
        <w:t xml:space="preserve">Tahap 4: Pemeliharaan dan Monitoring</w:t>
      </w:r>
    </w:p>
    <w:p>
      <w:pPr/>
      <w:r>
        <w:rPr/>
        <w:t xml:space="preserve">Tahap ini memastikan display tetap rapi, menarik, dan sesuai standar selama periode operasional.</w:t>
      </w:r>
    </w:p>
    <w:p>
      <w:pPr>
        <w:numPr>
          <w:ilvl w:val="0"/>
          <w:numId w:val="1"/>
        </w:numPr>
      </w:pPr>
      <w:r>
        <w:rPr/>
        <w:t xml:space="preserve">Melakukan inspeksi rutin terhadap kondisi display dan produk.</w:t>
      </w:r>
    </w:p>
    <w:p>
      <w:pPr>
        <w:numPr>
          <w:ilvl w:val="0"/>
          <w:numId w:val="1"/>
        </w:numPr>
      </w:pPr>
      <w:r>
        <w:rPr/>
        <w:t xml:space="preserve">Mengganti atau memperbaiki elemen display yang rusak atau tidak sesuai.</w:t>
      </w:r>
    </w:p>
    <w:p>
      <w:pPr>
        <w:numPr>
          <w:ilvl w:val="0"/>
          <w:numId w:val="1"/>
        </w:numPr>
      </w:pPr>
      <w:r>
        <w:rPr/>
        <w:t xml:space="preserve">Memastikan ketersediaan produk di area display tetap terjaga.</w:t>
      </w:r>
    </w:p>
    <w:p>
      <w:pPr/>
      <w:r>
        <w:rPr>
          <w:sz w:val="20"/>
          <w:szCs w:val="20"/>
          <w:i w:val="1"/>
          <w:iCs w:val="1"/>
        </w:rPr>
        <w:t xml:space="preserve">Penanggung Jawab: Tim Operasional dan Store Manager</w:t>
      </w:r>
    </w:p>
    <w:p>
      <w:pPr/>
      <w:r>
        <w:rPr>
          <w:sz w:val="20"/>
          <w:szCs w:val="20"/>
          <w:i w:val="1"/>
          <w:iCs w:val="1"/>
        </w:rPr>
        <w:t xml:space="preserve">Dokumen: Checklist Monitoring Harian, Laporan Pemeliharaan Display, Form Inspeksi Visual</w:t>
      </w:r>
    </w:p>
    <w:p/>
    <w:p>
      <w:pPr/>
      <w:r>
        <w:rPr>
          <w:color w:val="1A2744"/>
          <w:sz w:val="24"/>
          <w:szCs w:val="24"/>
          <w:b w:val="1"/>
          <w:bCs w:val="1"/>
        </w:rPr>
        <w:t xml:space="preserve">Tahap 5: Evaluasi dan Pelaporan</w:t>
      </w:r>
    </w:p>
    <w:p>
      <w:pPr/>
      <w:r>
        <w:rPr/>
        <w:t xml:space="preserve">Tahap ini bertujuan untuk menilai efektivitas visual merchandising dan melakukan perbaikan berkelanjutan.</w:t>
      </w:r>
    </w:p>
    <w:p>
      <w:pPr>
        <w:numPr>
          <w:ilvl w:val="0"/>
          <w:numId w:val="1"/>
        </w:numPr>
      </w:pPr>
      <w:r>
        <w:rPr/>
        <w:t xml:space="preserve">Mengumpulkan data penjualan dan feedback pelanggan terkait display.</w:t>
      </w:r>
    </w:p>
    <w:p>
      <w:pPr>
        <w:numPr>
          <w:ilvl w:val="0"/>
          <w:numId w:val="1"/>
        </w:numPr>
      </w:pPr>
      <w:r>
        <w:rPr/>
        <w:t xml:space="preserve">Menganalisis efektivitas display terhadap peningkatan penjualan.</w:t>
      </w:r>
    </w:p>
    <w:p>
      <w:pPr>
        <w:numPr>
          <w:ilvl w:val="0"/>
          <w:numId w:val="1"/>
        </w:numPr>
      </w:pPr>
      <w:r>
        <w:rPr/>
        <w:t xml:space="preserve">Menyusun laporan evaluasi dan rekomendasi perbaikan untuk periode berikutnya.</w:t>
      </w:r>
    </w:p>
    <w:p>
      <w:pPr/>
      <w:r>
        <w:rPr>
          <w:sz w:val="20"/>
          <w:szCs w:val="20"/>
          <w:i w:val="1"/>
          <w:iCs w:val="1"/>
        </w:rPr>
        <w:t xml:space="preserve">Penanggung Jawab: Visual Merchandiser dan Tim Pemasaran</w:t>
      </w:r>
    </w:p>
    <w:p>
      <w:pPr/>
      <w:r>
        <w:rPr>
          <w:sz w:val="20"/>
          <w:szCs w:val="20"/>
          <w:i w:val="1"/>
          <w:iCs w:val="1"/>
        </w:rPr>
        <w:t xml:space="preserve">Dokumen: Laporan Evaluasi Visual Merchandising, Data Penjualan, Feedback Pelanggan</w:t>
      </w:r>
    </w:p>
    <w:p/>
    <w:p>
      <w:pPr/>
      <w:r>
        <w:rPr>
          <w:color w:val="1A2744"/>
          <w:sz w:val="28"/>
          <w:szCs w:val="28"/>
          <w:b w:val="1"/>
          <w:bCs w:val="1"/>
        </w:rPr>
        <w:t xml:space="preserve">Dokumen Terkait</w:t>
      </w:r>
    </w:p>
    <w:p>
      <w:pPr>
        <w:numPr>
          <w:ilvl w:val="0"/>
          <w:numId w:val="1"/>
        </w:numPr>
      </w:pPr>
      <w:r>
        <w:rPr/>
        <w:t xml:space="preserve">Rencana Visual Merchandising</w:t>
      </w:r>
    </w:p>
    <w:p>
      <w:pPr>
        <w:numPr>
          <w:ilvl w:val="0"/>
          <w:numId w:val="1"/>
        </w:numPr>
      </w:pPr>
      <w:r>
        <w:rPr/>
        <w:t xml:space="preserve">Planogram Display</w:t>
      </w:r>
    </w:p>
    <w:p>
      <w:pPr>
        <w:numPr>
          <w:ilvl w:val="0"/>
          <w:numId w:val="1"/>
        </w:numPr>
      </w:pPr>
      <w:r>
        <w:rPr/>
        <w:t xml:space="preserve">Checklist Monitoring Harian</w:t>
      </w:r>
    </w:p>
    <w:p>
      <w:pPr>
        <w:numPr>
          <w:ilvl w:val="0"/>
          <w:numId w:val="1"/>
        </w:numPr>
      </w:pPr>
      <w:r>
        <w:rPr/>
        <w:t xml:space="preserve">Laporan Evaluasi Visual Merchandising</w:t>
      </w:r>
    </w:p>
    <w:p>
      <w:pPr>
        <w:numPr>
          <w:ilvl w:val="0"/>
          <w:numId w:val="1"/>
        </w:numPr>
      </w:pPr>
      <w:r>
        <w:rPr/>
        <w:t xml:space="preserve">Kalender Promosi Perusahaan</w:t>
      </w:r>
    </w:p>
    <w:p/>
    <w:p>
      <w:pPr/>
      <w:r>
        <w:rPr>
          <w:color w:val="1A2744"/>
          <w:sz w:val="28"/>
          <w:szCs w:val="28"/>
          <w:b w:val="1"/>
          <w:bCs w:val="1"/>
        </w:rPr>
        <w:t xml:space="preserve">Referensi</w:t>
      </w:r>
    </w:p>
    <w:p>
      <w:pPr>
        <w:numPr>
          <w:ilvl w:val="0"/>
          <w:numId w:val="1"/>
        </w:numPr>
      </w:pPr>
      <w:r>
        <w:rPr/>
        <w:t xml:space="preserve">Undang-Undang Nomor 7 Tahun 2014 tentang Perdagangan</w:t>
      </w:r>
    </w:p>
    <w:p>
      <w:pPr>
        <w:numPr>
          <w:ilvl w:val="0"/>
          <w:numId w:val="1"/>
        </w:numPr>
      </w:pPr>
      <w:r>
        <w:rPr/>
        <w:t xml:space="preserve">Peraturan Menteri Perdagangan Republik Indonesia terkait Penyelenggaraan Perdagangan Ritel</w:t>
      </w:r>
    </w:p>
    <w:p>
      <w:pPr>
        <w:numPr>
          <w:ilvl w:val="0"/>
          <w:numId w:val="1"/>
        </w:numPr>
      </w:pPr>
      <w:r>
        <w:rPr/>
        <w:t xml:space="preserve">Standar Nasional Indonesia (SNI) terkait tata ruang dan keselamatan fasilitas ritel</w:t>
      </w:r>
    </w:p>
    <w:p>
      <w:pPr>
        <w:numPr>
          <w:ilvl w:val="0"/>
          <w:numId w:val="1"/>
        </w:numPr>
      </w:pPr>
      <w:r>
        <w:rPr/>
        <w:t xml:space="preserve">Pedoman Branding dan Pemasaran Internal Perusahaan</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E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2026-08-03T09:20:02+00:00</dcterms:created>
  <dcterms:modified xsi:type="dcterms:W3CDTF">2026-08-03T09:20:02+00:00</dcterms:modified>
</cp:coreProperties>
</file>

<file path=docProps/custom.xml><?xml version="1.0" encoding="utf-8"?>
<Properties xmlns="http://schemas.openxmlformats.org/officeDocument/2006/custom-properties" xmlns:vt="http://schemas.openxmlformats.org/officeDocument/2006/docPropsVTypes"/>
</file>