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pPr>
      <w:r>
        <w:rPr>
          <w:color w:val="1A2744"/>
          <w:sz w:val="36"/>
          <w:szCs w:val="36"/>
          <w:b w:val="1"/>
          <w:bCs w:val="1"/>
        </w:rPr>
        <w:t xml:space="preserve">SOP Penilaian Kinerja (KPI)</w:t>
      </w:r>
    </w:p>
    <w:p/>
    <w:tbl>
      <w:tblGrid>
        <w:gridCol w:w="2000" w:type="dxa"/>
        <w:gridCol w:w="3000" w:type="dxa"/>
      </w:tblGrid>
      <w:tblPr>
        <w:tblW w:w="5000" w:type="auto"/>
        <w:tblLayout w:type="autofit"/>
        <w:tblBorders>
          <w:top w:val="single" w:sz="6" w:color="E5E7EB"/>
          <w:left w:val="single" w:sz="6" w:color="E5E7EB"/>
          <w:right w:val="single" w:sz="6" w:color="E5E7EB"/>
          <w:bottom w:val="single" w:sz="6" w:color="E5E7EB"/>
          <w:insideH w:val="single" w:sz="6" w:color="E5E7EB"/>
          <w:insideV w:val="single" w:sz="6" w:color="E5E7EB"/>
        </w:tblBorders>
      </w:tblPr>
      <w:tr>
        <w:trPr/>
        <w:tc>
          <w:tcPr>
            <w:tcW w:w="2000" w:type="dxa"/>
            <w:noWrap/>
          </w:tcPr>
          <w:p>
            <w:pPr/>
            <w:r>
              <w:rPr>
                <w:b w:val="1"/>
                <w:bCs w:val="1"/>
                <w:shd w:val="clear" w:fill="FCE4EC"/>
              </w:rPr>
              <w:t xml:space="preserve">No. Dokumen</w:t>
            </w:r>
          </w:p>
        </w:tc>
        <w:tc>
          <w:tcPr>
            <w:tcW w:w="3000" w:type="dxa"/>
            <w:noWrap/>
          </w:tcPr>
          <w:p>
            <w:pPr/>
            <w:r>
              <w:rPr/>
              <w:t xml:space="preserve">SOP-0138</w:t>
            </w:r>
          </w:p>
        </w:tc>
      </w:tr>
      <w:tr>
        <w:trPr/>
        <w:tc>
          <w:tcPr>
            <w:tcW w:w="2000" w:type="dxa"/>
            <w:noWrap/>
          </w:tcPr>
          <w:p>
            <w:pPr/>
            <w:r>
              <w:rPr>
                <w:b w:val="1"/>
                <w:bCs w:val="1"/>
                <w:shd w:val="clear" w:fill="FCE4EC"/>
              </w:rPr>
              <w:t xml:space="preserve">Kategori</w:t>
            </w:r>
          </w:p>
        </w:tc>
        <w:tc>
          <w:tcPr>
            <w:tcW w:w="3000" w:type="dxa"/>
            <w:noWrap/>
          </w:tcPr>
          <w:p>
            <w:pPr/>
            <w:r>
              <w:rPr/>
              <w:t xml:space="preserve">Human Resources</w:t>
            </w:r>
          </w:p>
        </w:tc>
      </w:tr>
      <w:tr>
        <w:trPr/>
        <w:tc>
          <w:tcPr>
            <w:tcW w:w="2000" w:type="dxa"/>
            <w:noWrap/>
          </w:tcPr>
          <w:p>
            <w:pPr/>
            <w:r>
              <w:rPr>
                <w:b w:val="1"/>
                <w:bCs w:val="1"/>
                <w:shd w:val="clear" w:fill="FCE4EC"/>
              </w:rPr>
              <w:t xml:space="preserve">Tanggal</w:t>
            </w:r>
          </w:p>
        </w:tc>
        <w:tc>
          <w:tcPr>
            <w:tcW w:w="3000" w:type="dxa"/>
            <w:noWrap/>
          </w:tcPr>
          <w:p>
            <w:pPr/>
            <w:r>
              <w:rPr/>
              <w:t xml:space="preserve">29/04/2026</w:t>
            </w:r>
          </w:p>
        </w:tc>
      </w:tr>
    </w:tbl>
    <w:p/>
    <w:p/>
    <w:p>
      <w:pPr/>
      <w:r>
        <w:rPr>
          <w:color w:val="1A2744"/>
          <w:sz w:val="28"/>
          <w:szCs w:val="28"/>
          <w:b w:val="1"/>
          <w:bCs w:val="1"/>
        </w:rPr>
        <w:t xml:space="preserve">Tujuan</w:t>
      </w:r>
    </w:p>
    <w:p>
      <w:pPr/>
      <w:r>
        <w:rPr/>
        <w:t xml:space="preserve">SOP ini bertujuan untuk memberikan pedoman yang sistematis, objektif, dan terstandarisasi dalam proses penilaian kinerja karyawan berbasis Key Performance Indicator (KPI). Dengan adanya SOP ini, perusahaan dapat memastikan bahwa seluruh proses evaluasi kinerja dilakukan secara adil, transparan, dan terukur, serta selaras dengan tujuan strategis organisasi. Selain itu, SOP ini juga bertujuan untuk meningkatkan produktivitas, memberikan dasar yang jelas dalam pengambilan keputusan terkait promosi, kompensasi, dan pengembangan karyawan, serta meminimalkan subjektivitas dalam penilaian kinerja.</w:t>
      </w:r>
    </w:p>
    <w:p/>
    <w:p>
      <w:pPr/>
      <w:r>
        <w:rPr>
          <w:color w:val="1A2744"/>
          <w:sz w:val="28"/>
          <w:szCs w:val="28"/>
          <w:b w:val="1"/>
          <w:bCs w:val="1"/>
        </w:rPr>
        <w:t xml:space="preserve">Ruang Lingkup</w:t>
      </w:r>
    </w:p>
    <w:p>
      <w:pPr/>
      <w:r>
        <w:rPr/>
        <w:t xml:space="preserve">SOP ini berlaku untuk seluruh karyawan tetap, kontrak, maupun manajemen di lingkungan perusahaan yang terlibat dalam proses penilaian kinerja. Ruang lingkup mencakup penetapan KPI individu dan tim, pemantauan kinerja secara berkala, evaluasi kinerja periodik (bulanan, triwulanan, atau tahunan), pemberian umpan balik, serta tindak lanjut berupa pengembangan kompetensi atau tindakan korektif. SOP ini juga mencakup peran dan tanggung jawab unit Human Resources (HR), atasan langsung, serta karyawan dalam keseluruhan siklus manajemen kinerja.</w:t>
      </w:r>
    </w:p>
    <w:p/>
    <w:p>
      <w:pPr/>
      <w:r>
        <w:rPr>
          <w:color w:val="1A2744"/>
          <w:sz w:val="28"/>
          <w:szCs w:val="28"/>
          <w:b w:val="1"/>
          <w:bCs w:val="1"/>
        </w:rPr>
        <w:t xml:space="preserve">Definisi</w:t>
      </w:r>
    </w:p>
    <w:tbl>
      <w:tblGrid>
        <w:gridCol w:w="3000" w:type="dxa"/>
        <w:gridCol w:w="6000" w:type="dxa"/>
      </w:tblGrid>
      <w:tblPr>
        <w:tblW w:w="9000" w:type="dxa"/>
        <w:tblLayout w:type="autofit"/>
        <w:tblBorders>
          <w:top w:val="single" w:sz="6" w:color="E5E7EB"/>
          <w:left w:val="single" w:sz="6" w:color="E5E7EB"/>
          <w:right w:val="single" w:sz="6" w:color="E5E7EB"/>
          <w:bottom w:val="single" w:sz="6" w:color="E5E7EB"/>
          <w:insideH w:val="single" w:sz="6" w:color="E5E7EB"/>
          <w:insideV w:val="single" w:sz="6" w:color="E5E7EB"/>
        </w:tblBorders>
      </w:tblPr>
      <w:tr>
        <w:trPr/>
        <w:tc>
          <w:tcPr>
            <w:tcW w:w="3000" w:type="dxa"/>
            <w:noWrap/>
          </w:tcPr>
          <w:p>
            <w:pPr/>
            <w:r>
              <w:rPr>
                <w:b w:val="1"/>
                <w:bCs w:val="1"/>
                <w:shd w:val="clear" w:fill="F3F4F6"/>
              </w:rPr>
              <w:t xml:space="preserve">Istilah</w:t>
            </w:r>
          </w:p>
        </w:tc>
        <w:tc>
          <w:tcPr>
            <w:tcW w:w="6000" w:type="dxa"/>
            <w:noWrap/>
          </w:tcPr>
          <w:p>
            <w:pPr/>
            <w:r>
              <w:rPr>
                <w:b w:val="1"/>
                <w:bCs w:val="1"/>
                <w:shd w:val="clear" w:fill="F3F4F6"/>
              </w:rPr>
              <w:t xml:space="preserve">Definisi</w:t>
            </w:r>
          </w:p>
        </w:tc>
      </w:tr>
      <w:tr>
        <w:trPr/>
        <w:tc>
          <w:tcPr>
            <w:tcW w:w="3000" w:type="dxa"/>
            <w:noWrap/>
          </w:tcPr>
          <w:p>
            <w:pPr/>
            <w:r>
              <w:rPr/>
              <w:t xml:space="preserve">KPI (Key Performance Indicator)</w:t>
            </w:r>
          </w:p>
        </w:tc>
        <w:tc>
          <w:tcPr>
            <w:tcW w:w="6000" w:type="dxa"/>
            <w:noWrap/>
          </w:tcPr>
          <w:p>
            <w:pPr/>
            <w:r>
              <w:rPr/>
              <w:t xml:space="preserve">Indikator kinerja utama yang digunakan untuk mengukur keberhasilan individu atau tim dalam mencapai target yang telah ditetapkan.</w:t>
            </w:r>
          </w:p>
        </w:tc>
      </w:tr>
      <w:tr>
        <w:trPr/>
        <w:tc>
          <w:tcPr>
            <w:tcW w:w="3000" w:type="dxa"/>
            <w:noWrap/>
          </w:tcPr>
          <w:p>
            <w:pPr/>
            <w:r>
              <w:rPr/>
              <w:t xml:space="preserve">Penilaian Kinerja</w:t>
            </w:r>
          </w:p>
        </w:tc>
        <w:tc>
          <w:tcPr>
            <w:tcW w:w="6000" w:type="dxa"/>
            <w:noWrap/>
          </w:tcPr>
          <w:p>
            <w:pPr/>
            <w:r>
              <w:rPr/>
              <w:t xml:space="preserve">Proses evaluasi sistematis terhadap hasil kerja karyawan berdasarkan indikator yang telah ditentukan.</w:t>
            </w:r>
          </w:p>
        </w:tc>
      </w:tr>
      <w:tr>
        <w:trPr/>
        <w:tc>
          <w:tcPr>
            <w:tcW w:w="3000" w:type="dxa"/>
            <w:noWrap/>
          </w:tcPr>
          <w:p>
            <w:pPr/>
            <w:r>
              <w:rPr/>
              <w:t xml:space="preserve">Atasan Langsung</w:t>
            </w:r>
          </w:p>
        </w:tc>
        <w:tc>
          <w:tcPr>
            <w:tcW w:w="6000" w:type="dxa"/>
            <w:noWrap/>
          </w:tcPr>
          <w:p>
            <w:pPr/>
            <w:r>
              <w:rPr/>
              <w:t xml:space="preserve">Pihak yang memiliki tanggung jawab langsung dalam mengawasi dan mengevaluasi kinerja karyawan.</w:t>
            </w:r>
          </w:p>
        </w:tc>
      </w:tr>
      <w:tr>
        <w:trPr/>
        <w:tc>
          <w:tcPr>
            <w:tcW w:w="3000" w:type="dxa"/>
            <w:noWrap/>
          </w:tcPr>
          <w:p>
            <w:pPr/>
            <w:r>
              <w:rPr/>
              <w:t xml:space="preserve">HR (Human Resources)</w:t>
            </w:r>
          </w:p>
        </w:tc>
        <w:tc>
          <w:tcPr>
            <w:tcW w:w="6000" w:type="dxa"/>
            <w:noWrap/>
          </w:tcPr>
          <w:p>
            <w:pPr/>
            <w:r>
              <w:rPr/>
              <w:t xml:space="preserve">Unit kerja yang bertanggung jawab dalam pengelolaan sumber daya manusia termasuk sistem penilaian kinerja.</w:t>
            </w:r>
          </w:p>
        </w:tc>
      </w:tr>
      <w:tr>
        <w:trPr/>
        <w:tc>
          <w:tcPr>
            <w:tcW w:w="3000" w:type="dxa"/>
            <w:noWrap/>
          </w:tcPr>
          <w:p>
            <w:pPr/>
            <w:r>
              <w:rPr/>
              <w:t xml:space="preserve">Performance Review</w:t>
            </w:r>
          </w:p>
        </w:tc>
        <w:tc>
          <w:tcPr>
            <w:tcW w:w="6000" w:type="dxa"/>
            <w:noWrap/>
          </w:tcPr>
          <w:p>
            <w:pPr/>
            <w:r>
              <w:rPr/>
              <w:t xml:space="preserve">Kegiatan evaluasi formal terhadap kinerja karyawan dalam periode tertentu.</w:t>
            </w:r>
          </w:p>
        </w:tc>
      </w:tr>
    </w:tbl>
    <w:p/>
    <w:p>
      <w:pPr/>
      <w:r>
        <w:rPr>
          <w:color w:val="1A2744"/>
          <w:sz w:val="28"/>
          <w:szCs w:val="28"/>
          <w:b w:val="1"/>
          <w:bCs w:val="1"/>
        </w:rPr>
        <w:t xml:space="preserve">Tanggung Jawab</w:t>
      </w:r>
    </w:p>
    <w:tbl>
      <w:tblGrid>
        <w:gridCol w:w="3000" w:type="dxa"/>
        <w:gridCol w:w="6000" w:type="dxa"/>
      </w:tblGrid>
      <w:tblPr>
        <w:tblW w:w="9000" w:type="dxa"/>
        <w:tblLayout w:type="autofit"/>
        <w:tblBorders>
          <w:top w:val="single" w:sz="6" w:color="E5E7EB"/>
          <w:left w:val="single" w:sz="6" w:color="E5E7EB"/>
          <w:right w:val="single" w:sz="6" w:color="E5E7EB"/>
          <w:bottom w:val="single" w:sz="6" w:color="E5E7EB"/>
          <w:insideH w:val="single" w:sz="6" w:color="E5E7EB"/>
          <w:insideV w:val="single" w:sz="6" w:color="E5E7EB"/>
        </w:tblBorders>
      </w:tblPr>
      <w:tr>
        <w:trPr/>
        <w:tc>
          <w:tcPr>
            <w:tcW w:w="3000" w:type="dxa"/>
            <w:noWrap/>
          </w:tcPr>
          <w:p>
            <w:pPr/>
            <w:r>
              <w:rPr>
                <w:b w:val="1"/>
                <w:bCs w:val="1"/>
                <w:shd w:val="clear" w:fill="F3F4F6"/>
              </w:rPr>
              <w:t xml:space="preserve">Pihak</w:t>
            </w:r>
          </w:p>
        </w:tc>
        <w:tc>
          <w:tcPr>
            <w:tcW w:w="6000" w:type="dxa"/>
            <w:noWrap/>
          </w:tcPr>
          <w:p>
            <w:pPr/>
            <w:r>
              <w:rPr>
                <w:b w:val="1"/>
                <w:bCs w:val="1"/>
                <w:shd w:val="clear" w:fill="F3F4F6"/>
              </w:rPr>
              <w:t xml:space="preserve">Tanggung Jawab</w:t>
            </w:r>
          </w:p>
        </w:tc>
      </w:tr>
      <w:tr>
        <w:trPr/>
        <w:tc>
          <w:tcPr>
            <w:tcW w:w="3000" w:type="dxa"/>
            <w:noWrap/>
          </w:tcPr>
          <w:p>
            <w:pPr/>
            <w:r>
              <w:rPr/>
              <w:t xml:space="preserve">Human Resources (HR)</w:t>
            </w:r>
          </w:p>
        </w:tc>
        <w:tc>
          <w:tcPr>
            <w:tcW w:w="6000" w:type="dxa"/>
            <w:noWrap/>
          </w:tcPr>
          <w:p>
            <w:pPr/>
            <w:r>
              <w:rPr/>
              <w:t xml:space="preserve">Menyusun kebijakan penilaian kinerja, mengelola sistem KPI, memberikan pelatihan, serta memastikan proses berjalan sesuai SOP.</w:t>
            </w:r>
          </w:p>
        </w:tc>
      </w:tr>
      <w:tr>
        <w:trPr/>
        <w:tc>
          <w:tcPr>
            <w:tcW w:w="3000" w:type="dxa"/>
            <w:noWrap/>
          </w:tcPr>
          <w:p>
            <w:pPr/>
            <w:r>
              <w:rPr/>
              <w:t xml:space="preserve">Atasan Langsung</w:t>
            </w:r>
          </w:p>
        </w:tc>
        <w:tc>
          <w:tcPr>
            <w:tcW w:w="6000" w:type="dxa"/>
            <w:noWrap/>
          </w:tcPr>
          <w:p>
            <w:pPr/>
            <w:r>
              <w:rPr/>
              <w:t xml:space="preserve">Menetapkan KPI, memantau kinerja karyawan, melakukan evaluasi, dan memberikan umpan balik secara berkala.</w:t>
            </w:r>
          </w:p>
        </w:tc>
      </w:tr>
      <w:tr>
        <w:trPr/>
        <w:tc>
          <w:tcPr>
            <w:tcW w:w="3000" w:type="dxa"/>
            <w:noWrap/>
          </w:tcPr>
          <w:p>
            <w:pPr/>
            <w:r>
              <w:rPr/>
              <w:t xml:space="preserve">Karyawan</w:t>
            </w:r>
          </w:p>
        </w:tc>
        <w:tc>
          <w:tcPr>
            <w:tcW w:w="6000" w:type="dxa"/>
            <w:noWrap/>
          </w:tcPr>
          <w:p>
            <w:pPr/>
            <w:r>
              <w:rPr/>
              <w:t xml:space="preserve">Memahami KPI yang ditetapkan, melaksanakan pekerjaan sesuai target, serta mengikuti proses evaluasi dengan transparan.</w:t>
            </w:r>
          </w:p>
        </w:tc>
      </w:tr>
      <w:tr>
        <w:trPr/>
        <w:tc>
          <w:tcPr>
            <w:tcW w:w="3000" w:type="dxa"/>
            <w:noWrap/>
          </w:tcPr>
          <w:p>
            <w:pPr/>
            <w:r>
              <w:rPr/>
              <w:t xml:space="preserve">Manajemen Puncak</w:t>
            </w:r>
          </w:p>
        </w:tc>
        <w:tc>
          <w:tcPr>
            <w:tcW w:w="6000" w:type="dxa"/>
            <w:noWrap/>
          </w:tcPr>
          <w:p>
            <w:pPr/>
            <w:r>
              <w:rPr/>
              <w:t xml:space="preserve">Menyetujui kebijakan KPI dan memastikan implementasi selaras dengan strategi perusahaan.</w:t>
            </w:r>
          </w:p>
        </w:tc>
      </w:tr>
    </w:tbl>
    <w:p/>
    <w:p>
      <w:pPr/>
      <w:r>
        <w:rPr>
          <w:color w:val="1A2744"/>
          <w:sz w:val="28"/>
          <w:szCs w:val="28"/>
          <w:b w:val="1"/>
          <w:bCs w:val="1"/>
        </w:rPr>
        <w:t xml:space="preserve">Prosedur</w:t>
      </w:r>
    </w:p>
    <w:p>
      <w:pPr/>
      <w:r>
        <w:rPr>
          <w:color w:val="1A2744"/>
          <w:sz w:val="24"/>
          <w:szCs w:val="24"/>
          <w:b w:val="1"/>
          <w:bCs w:val="1"/>
        </w:rPr>
        <w:t xml:space="preserve">Tahap 1: Perencanaan dan Penetapan KPI</w:t>
      </w:r>
    </w:p>
    <w:p>
      <w:pPr/>
      <w:r>
        <w:rPr/>
        <w:t xml:space="preserve">Tahap awal dalam proses penilaian kinerja yang bertujuan untuk menetapkan indikator kinerja yang relevan, terukur, dan selaras dengan tujuan perusahaan.</w:t>
      </w:r>
    </w:p>
    <w:p>
      <w:pPr>
        <w:numPr>
          <w:ilvl w:val="0"/>
          <w:numId w:val="1"/>
        </w:numPr>
      </w:pPr>
      <w:r>
        <w:rPr/>
        <w:t xml:space="preserve">HR bersama manajemen menyusun kerangka KPI berdasarkan visi, misi, dan target strategis perusahaan.</w:t>
      </w:r>
    </w:p>
    <w:p>
      <w:pPr>
        <w:numPr>
          <w:ilvl w:val="0"/>
          <w:numId w:val="1"/>
        </w:numPr>
      </w:pPr>
      <w:r>
        <w:rPr/>
        <w:t xml:space="preserve">Atasan langsung menetapkan KPI individu karyawan berdasarkan deskripsi pekerjaan dan target unit kerja.</w:t>
      </w:r>
    </w:p>
    <w:p>
      <w:pPr>
        <w:numPr>
          <w:ilvl w:val="0"/>
          <w:numId w:val="1"/>
        </w:numPr>
      </w:pPr>
      <w:r>
        <w:rPr/>
        <w:t xml:space="preserve">KPI yang telah disusun dikomunikasikan kepada karyawan untuk mendapatkan pemahaman dan persetujuan bersama.</w:t>
      </w:r>
    </w:p>
    <w:p>
      <w:pPr/>
      <w:r>
        <w:rPr>
          <w:sz w:val="20"/>
          <w:szCs w:val="20"/>
          <w:i w:val="1"/>
          <w:iCs w:val="1"/>
        </w:rPr>
        <w:t xml:space="preserve">Penanggung Jawab: HR dan Atasan Langsung</w:t>
      </w:r>
    </w:p>
    <w:p>
      <w:pPr/>
      <w:r>
        <w:rPr>
          <w:sz w:val="20"/>
          <w:szCs w:val="20"/>
          <w:i w:val="1"/>
          <w:iCs w:val="1"/>
        </w:rPr>
        <w:t xml:space="preserve">Dokumen: Formulir Penetapan KPI, Job Description, Rencana Kerja Tahunan</w:t>
      </w:r>
    </w:p>
    <w:p/>
    <w:p>
      <w:pPr/>
      <w:r>
        <w:rPr>
          <w:color w:val="1A2744"/>
          <w:sz w:val="24"/>
          <w:szCs w:val="24"/>
          <w:b w:val="1"/>
          <w:bCs w:val="1"/>
        </w:rPr>
        <w:t xml:space="preserve">Tahap 2: Sosialisasi dan Penyelarasan KPI</w:t>
      </w:r>
    </w:p>
    <w:p>
      <w:pPr/>
      <w:r>
        <w:rPr/>
        <w:t xml:space="preserve">Tahap ini memastikan seluruh karyawan memahami KPI yang ditetapkan serta bagaimana indikator tersebut diukur dan dievaluasi.</w:t>
      </w:r>
    </w:p>
    <w:p>
      <w:pPr>
        <w:numPr>
          <w:ilvl w:val="0"/>
          <w:numId w:val="1"/>
        </w:numPr>
      </w:pPr>
      <w:r>
        <w:rPr/>
        <w:t xml:space="preserve">HR menyelenggarakan sesi sosialisasi terkait sistem penilaian kinerja dan KPI.</w:t>
      </w:r>
    </w:p>
    <w:p>
      <w:pPr>
        <w:numPr>
          <w:ilvl w:val="0"/>
          <w:numId w:val="1"/>
        </w:numPr>
      </w:pPr>
      <w:r>
        <w:rPr/>
        <w:t xml:space="preserve">Atasan langsung menjelaskan detail KPI dan ekspektasi kepada masing-masing karyawan.</w:t>
      </w:r>
    </w:p>
    <w:p>
      <w:pPr>
        <w:numPr>
          <w:ilvl w:val="0"/>
          <w:numId w:val="1"/>
        </w:numPr>
      </w:pPr>
      <w:r>
        <w:rPr/>
        <w:t xml:space="preserve">Karyawan memberikan konfirmasi pemahaman dan menyetujui KPI yang telah ditetapkan.</w:t>
      </w:r>
    </w:p>
    <w:p>
      <w:pPr/>
      <w:r>
        <w:rPr>
          <w:sz w:val="20"/>
          <w:szCs w:val="20"/>
          <w:i w:val="1"/>
          <w:iCs w:val="1"/>
        </w:rPr>
        <w:t xml:space="preserve">Penanggung Jawab: HR dan Atasan Langsung</w:t>
      </w:r>
    </w:p>
    <w:p>
      <w:pPr/>
      <w:r>
        <w:rPr>
          <w:sz w:val="20"/>
          <w:szCs w:val="20"/>
          <w:i w:val="1"/>
          <w:iCs w:val="1"/>
        </w:rPr>
        <w:t xml:space="preserve">Dokumen: Materi Sosialisasi KPI, Daftar Hadir Sosialisasi, Form Persetujuan KPI</w:t>
      </w:r>
    </w:p>
    <w:p/>
    <w:p>
      <w:pPr/>
      <w:r>
        <w:rPr>
          <w:color w:val="1A2744"/>
          <w:sz w:val="24"/>
          <w:szCs w:val="24"/>
          <w:b w:val="1"/>
          <w:bCs w:val="1"/>
        </w:rPr>
        <w:t xml:space="preserve">Tahap 3: Pemantauan dan Pengukuran Kinerja</w:t>
      </w:r>
    </w:p>
    <w:p>
      <w:pPr/>
      <w:r>
        <w:rPr/>
        <w:t xml:space="preserve">Tahap ini dilakukan secara berkala untuk memastikan pencapaian KPI berjalan sesuai target yang telah ditetapkan.</w:t>
      </w:r>
    </w:p>
    <w:p>
      <w:pPr>
        <w:numPr>
          <w:ilvl w:val="0"/>
          <w:numId w:val="1"/>
        </w:numPr>
      </w:pPr>
      <w:r>
        <w:rPr/>
        <w:t xml:space="preserve">Karyawan melaporkan progres kinerja secara berkala sesuai jadwal yang ditentukan.</w:t>
      </w:r>
    </w:p>
    <w:p>
      <w:pPr>
        <w:numPr>
          <w:ilvl w:val="0"/>
          <w:numId w:val="1"/>
        </w:numPr>
      </w:pPr>
      <w:r>
        <w:rPr/>
        <w:t xml:space="preserve">Atasan langsung melakukan monitoring dan memberikan arahan jika terjadi deviasi dari target.</w:t>
      </w:r>
    </w:p>
    <w:p>
      <w:pPr>
        <w:numPr>
          <w:ilvl w:val="0"/>
          <w:numId w:val="1"/>
        </w:numPr>
      </w:pPr>
      <w:r>
        <w:rPr/>
        <w:t xml:space="preserve">HR melakukan audit berkala terhadap data kinerja untuk memastikan akurasi dan konsistensi.</w:t>
      </w:r>
    </w:p>
    <w:p>
      <w:pPr/>
      <w:r>
        <w:rPr>
          <w:sz w:val="20"/>
          <w:szCs w:val="20"/>
          <w:i w:val="1"/>
          <w:iCs w:val="1"/>
        </w:rPr>
        <w:t xml:space="preserve">Penanggung Jawab: Atasan Langsung dan HR</w:t>
      </w:r>
    </w:p>
    <w:p>
      <w:pPr/>
      <w:r>
        <w:rPr>
          <w:sz w:val="20"/>
          <w:szCs w:val="20"/>
          <w:i w:val="1"/>
          <w:iCs w:val="1"/>
        </w:rPr>
        <w:t xml:space="preserve">Dokumen: Laporan Kinerja Bulanan, Dashboard KPI, Catatan Monitoring Kinerja</w:t>
      </w:r>
    </w:p>
    <w:p/>
    <w:p>
      <w:pPr/>
      <w:r>
        <w:rPr>
          <w:color w:val="1A2744"/>
          <w:sz w:val="24"/>
          <w:szCs w:val="24"/>
          <w:b w:val="1"/>
          <w:bCs w:val="1"/>
        </w:rPr>
        <w:t xml:space="preserve">Tahap 4: Evaluasi dan Penilaian Kinerja</w:t>
      </w:r>
    </w:p>
    <w:p>
      <w:pPr/>
      <w:r>
        <w:rPr/>
        <w:t xml:space="preserve">Tahap ini merupakan proses penilaian formal terhadap pencapaian KPI karyawan dalam periode tertentu.</w:t>
      </w:r>
    </w:p>
    <w:p>
      <w:pPr>
        <w:numPr>
          <w:ilvl w:val="0"/>
          <w:numId w:val="1"/>
        </w:numPr>
      </w:pPr>
      <w:r>
        <w:rPr/>
        <w:t xml:space="preserve">Atasan langsung melakukan penilaian berdasarkan data kinerja yang telah dikumpulkan.</w:t>
      </w:r>
    </w:p>
    <w:p>
      <w:pPr>
        <w:numPr>
          <w:ilvl w:val="0"/>
          <w:numId w:val="1"/>
        </w:numPr>
      </w:pPr>
      <w:r>
        <w:rPr/>
        <w:t xml:space="preserve">HR melakukan validasi hasil penilaian untuk memastikan objektivitas dan kesesuaian standar.</w:t>
      </w:r>
    </w:p>
    <w:p>
      <w:pPr>
        <w:numPr>
          <w:ilvl w:val="0"/>
          <w:numId w:val="1"/>
        </w:numPr>
      </w:pPr>
      <w:r>
        <w:rPr/>
        <w:t xml:space="preserve">Hasil penilaian didokumentasikan dalam sistem atau formulir resmi perusahaan.</w:t>
      </w:r>
    </w:p>
    <w:p>
      <w:pPr/>
      <w:r>
        <w:rPr>
          <w:sz w:val="20"/>
          <w:szCs w:val="20"/>
          <w:i w:val="1"/>
          <w:iCs w:val="1"/>
        </w:rPr>
        <w:t xml:space="preserve">Penanggung Jawab: Atasan Langsung dan HR</w:t>
      </w:r>
    </w:p>
    <w:p>
      <w:pPr/>
      <w:r>
        <w:rPr>
          <w:sz w:val="20"/>
          <w:szCs w:val="20"/>
          <w:i w:val="1"/>
          <w:iCs w:val="1"/>
        </w:rPr>
        <w:t xml:space="preserve">Dokumen: Form Penilaian Kinerja, Rekapitulasi KPI, Sistem HRIS</w:t>
      </w:r>
    </w:p>
    <w:p/>
    <w:p>
      <w:pPr/>
      <w:r>
        <w:rPr>
          <w:color w:val="1A2744"/>
          <w:sz w:val="24"/>
          <w:szCs w:val="24"/>
          <w:b w:val="1"/>
          <w:bCs w:val="1"/>
        </w:rPr>
        <w:t xml:space="preserve">Tahap 5: Umpan Balik dan Tindak Lanjut</w:t>
      </w:r>
    </w:p>
    <w:p>
      <w:pPr/>
      <w:r>
        <w:rPr/>
        <w:t xml:space="preserve">Tahap ini bertujuan untuk memberikan feedback kepada karyawan serta menentukan langkah pengembangan atau perbaikan.</w:t>
      </w:r>
    </w:p>
    <w:p>
      <w:pPr>
        <w:numPr>
          <w:ilvl w:val="0"/>
          <w:numId w:val="1"/>
        </w:numPr>
      </w:pPr>
      <w:r>
        <w:rPr/>
        <w:t xml:space="preserve">Atasan langsung melakukan sesi feedback secara langsung dengan karyawan.</w:t>
      </w:r>
    </w:p>
    <w:p>
      <w:pPr>
        <w:numPr>
          <w:ilvl w:val="0"/>
          <w:numId w:val="1"/>
        </w:numPr>
      </w:pPr>
      <w:r>
        <w:rPr/>
        <w:t xml:space="preserve">Disusun rencana pengembangan individu (Individual Development Plan) berdasarkan hasil evaluasi.</w:t>
      </w:r>
    </w:p>
    <w:p>
      <w:pPr>
        <w:numPr>
          <w:ilvl w:val="0"/>
          <w:numId w:val="1"/>
        </w:numPr>
      </w:pPr>
      <w:r>
        <w:rPr/>
        <w:t xml:space="preserve">HR dan manajemen menentukan tindakan lanjutan seperti pelatihan, promosi, atau tindakan korektif.</w:t>
      </w:r>
    </w:p>
    <w:p>
      <w:pPr/>
      <w:r>
        <w:rPr>
          <w:sz w:val="20"/>
          <w:szCs w:val="20"/>
          <w:i w:val="1"/>
          <w:iCs w:val="1"/>
        </w:rPr>
        <w:t xml:space="preserve">Penanggung Jawab: Atasan Langsung, HR, dan Manajemen</w:t>
      </w:r>
    </w:p>
    <w:p>
      <w:pPr/>
      <w:r>
        <w:rPr>
          <w:sz w:val="20"/>
          <w:szCs w:val="20"/>
          <w:i w:val="1"/>
          <w:iCs w:val="1"/>
        </w:rPr>
        <w:t xml:space="preserve">Dokumen: Form Feedback Kinerja, Individual Development Plan (IDP), Dokumen Rekomendasi HR</w:t>
      </w:r>
    </w:p>
    <w:p/>
    <w:p>
      <w:pPr/>
      <w:r>
        <w:rPr>
          <w:color w:val="1A2744"/>
          <w:sz w:val="24"/>
          <w:szCs w:val="24"/>
          <w:b w:val="1"/>
          <w:bCs w:val="1"/>
        </w:rPr>
        <w:t xml:space="preserve">Tahap 6: Evaluasi Sistem KPI dan Perbaikan Berkelanjutan</w:t>
      </w:r>
    </w:p>
    <w:p>
      <w:pPr/>
      <w:r>
        <w:rPr/>
        <w:t xml:space="preserve">Tahap ini memastikan bahwa sistem KPI yang diterapkan tetap relevan dan efektif dalam mendukung kinerja organisasi.</w:t>
      </w:r>
    </w:p>
    <w:p>
      <w:pPr>
        <w:numPr>
          <w:ilvl w:val="0"/>
          <w:numId w:val="1"/>
        </w:numPr>
      </w:pPr>
      <w:r>
        <w:rPr/>
        <w:t xml:space="preserve">HR melakukan evaluasi berkala terhadap efektivitas sistem KPI.</w:t>
      </w:r>
    </w:p>
    <w:p>
      <w:pPr>
        <w:numPr>
          <w:ilvl w:val="0"/>
          <w:numId w:val="1"/>
        </w:numPr>
      </w:pPr>
      <w:r>
        <w:rPr/>
        <w:t xml:space="preserve">Mengumpulkan masukan dari karyawan dan atasan terkait proses penilaian.</w:t>
      </w:r>
    </w:p>
    <w:p>
      <w:pPr>
        <w:numPr>
          <w:ilvl w:val="0"/>
          <w:numId w:val="1"/>
        </w:numPr>
      </w:pPr>
      <w:r>
        <w:rPr/>
        <w:t xml:space="preserve">Melakukan revisi KPI atau prosedur jika diperlukan untuk peningkatan berkelanjutan.</w:t>
      </w:r>
    </w:p>
    <w:p>
      <w:pPr/>
      <w:r>
        <w:rPr>
          <w:sz w:val="20"/>
          <w:szCs w:val="20"/>
          <w:i w:val="1"/>
          <w:iCs w:val="1"/>
        </w:rPr>
        <w:t xml:space="preserve">Penanggung Jawab: HR dan Manajemen</w:t>
      </w:r>
    </w:p>
    <w:p>
      <w:pPr/>
      <w:r>
        <w:rPr>
          <w:sz w:val="20"/>
          <w:szCs w:val="20"/>
          <w:i w:val="1"/>
          <w:iCs w:val="1"/>
        </w:rPr>
        <w:t xml:space="preserve">Dokumen: Laporan Evaluasi KPI, Survei Kepuasan Karyawan, Dokumen Revisi SOP</w:t>
      </w:r>
    </w:p>
    <w:p/>
    <w:p>
      <w:pPr/>
      <w:r>
        <w:rPr>
          <w:color w:val="1A2744"/>
          <w:sz w:val="28"/>
          <w:szCs w:val="28"/>
          <w:b w:val="1"/>
          <w:bCs w:val="1"/>
        </w:rPr>
        <w:t xml:space="preserve">Dokumen Terkait</w:t>
      </w:r>
    </w:p>
    <w:p>
      <w:pPr>
        <w:numPr>
          <w:ilvl w:val="0"/>
          <w:numId w:val="1"/>
        </w:numPr>
      </w:pPr>
      <w:r>
        <w:rPr/>
        <w:t xml:space="preserve">Formulir Penetapan KPI</w:t>
      </w:r>
    </w:p>
    <w:p>
      <w:pPr>
        <w:numPr>
          <w:ilvl w:val="0"/>
          <w:numId w:val="1"/>
        </w:numPr>
      </w:pPr>
      <w:r>
        <w:rPr/>
        <w:t xml:space="preserve">Form Penilaian Kinerja Karyawan</w:t>
      </w:r>
    </w:p>
    <w:p>
      <w:pPr>
        <w:numPr>
          <w:ilvl w:val="0"/>
          <w:numId w:val="1"/>
        </w:numPr>
      </w:pPr>
      <w:r>
        <w:rPr/>
        <w:t xml:space="preserve">Individual Development Plan (IDP)</w:t>
      </w:r>
    </w:p>
    <w:p>
      <w:pPr>
        <w:numPr>
          <w:ilvl w:val="0"/>
          <w:numId w:val="1"/>
        </w:numPr>
      </w:pPr>
      <w:r>
        <w:rPr/>
        <w:t xml:space="preserve">Laporan Kinerja Bulanan</w:t>
      </w:r>
    </w:p>
    <w:p>
      <w:pPr>
        <w:numPr>
          <w:ilvl w:val="0"/>
          <w:numId w:val="1"/>
        </w:numPr>
      </w:pPr>
      <w:r>
        <w:rPr/>
        <w:t xml:space="preserve">Dashboard KPI HRIS</w:t>
      </w:r>
    </w:p>
    <w:p/>
    <w:p>
      <w:pPr/>
      <w:r>
        <w:rPr>
          <w:color w:val="1A2744"/>
          <w:sz w:val="28"/>
          <w:szCs w:val="28"/>
          <w:b w:val="1"/>
          <w:bCs w:val="1"/>
        </w:rPr>
        <w:t xml:space="preserve">Referensi</w:t>
      </w:r>
    </w:p>
    <w:p>
      <w:pPr>
        <w:numPr>
          <w:ilvl w:val="0"/>
          <w:numId w:val="1"/>
        </w:numPr>
      </w:pPr>
      <w:r>
        <w:rPr/>
        <w:t xml:space="preserve">Undang-Undang No. 13 Tahun 2003 tentang Ketenagakerjaan</w:t>
      </w:r>
    </w:p>
    <w:p>
      <w:pPr>
        <w:numPr>
          <w:ilvl w:val="0"/>
          <w:numId w:val="1"/>
        </w:numPr>
      </w:pPr>
      <w:r>
        <w:rPr/>
        <w:t xml:space="preserve">Undang-Undang No. 11 Tahun 2020 tentang Cipta Kerja</w:t>
      </w:r>
    </w:p>
    <w:p>
      <w:pPr>
        <w:numPr>
          <w:ilvl w:val="0"/>
          <w:numId w:val="1"/>
        </w:numPr>
      </w:pPr>
      <w:r>
        <w:rPr/>
        <w:t xml:space="preserve">Peraturan Pemerintah No. 35 Tahun 2021 tentang PKWT, Alih Daya, Waktu Kerja dan PHK</w:t>
      </w:r>
    </w:p>
    <w:p>
      <w:pPr>
        <w:numPr>
          <w:ilvl w:val="0"/>
          <w:numId w:val="1"/>
        </w:numPr>
      </w:pPr>
      <w:r>
        <w:rPr/>
        <w:t xml:space="preserve">ISO 9001:2015 tentang Sistem Manajemen Mutu</w:t>
      </w:r>
    </w:p>
    <w:p>
      <w:pPr>
        <w:numPr>
          <w:ilvl w:val="0"/>
          <w:numId w:val="1"/>
        </w:numPr>
      </w:pPr>
      <w:r>
        <w:rPr/>
        <w:t xml:space="preserve">Peraturan Menteri Ketenagakerjaan Republik Indonesia terkait penilaian kinerja dan pengembangan SDM</w:t>
      </w:r>
    </w:p>
    <w:p/>
    <w:sectPr>
      <w:footerReference w:type="default" r:id="rId7"/>
      <w:pgSz w:orient="portrait" w:w="11905.511811023622" w:h="16837.79527559055"/>
      <w:pgMar w:top="1134" w:right="1134" w:bottom="1134" w:left="113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rPr>
        <w:color w:val="6B7280"/>
        <w:sz w:val="18"/>
        <w:szCs w:val="18"/>
        <w:i w:val="1"/>
        <w:iCs w:val="1"/>
      </w:rPr>
      <w:t xml:space="preserve">Template ini dihasilkan oleh GajiHub SOP (sop.gajihub.com) — © 2026 PT Kledo Berhati Nyaman</w: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nsid w:val="65B059AB"/>
    <w:multiLevelType w:val="hybridMultilevel"/>
    <w:lvl w:ilvl="0">
      <w:start w:val="1"/>
      <w:numFmt w:val="bullet"/>
      <w:suff w:val="tab"/>
      <w:lvlText w:val=""/>
      <w:lvlJc w:val="left"/>
      <w:pPr>
        <w:tabs>
          <w:tab w:val="num" w:pos="720"/>
        </w:tabs>
        <w:ind w:left="720" w:hanging="360"/>
      </w:pPr>
      <w:rPr>
        <w:rFonts w:ascii="Symbol" w:hAnsi="Symbol" w:cs="Symbol" w:hint="default"/>
      </w:rPr>
    </w:lvl>
    <w:lvl w:ilvl="1">
      <w:start w:val="1"/>
      <w:numFmt w:val="bullet"/>
      <w:suff w:val="tab"/>
      <w:lvlText w:val="o"/>
      <w:lvlJc w:val="left"/>
      <w:pPr>
        <w:tabs>
          <w:tab w:val="num" w:pos="1440"/>
        </w:tabs>
        <w:ind w:left="1440" w:hanging="360"/>
      </w:pPr>
      <w:rPr>
        <w:rFonts w:ascii="Courier New" w:hAnsi="Courier New" w:cs="Courier New" w:hint="default"/>
      </w:rPr>
    </w:lvl>
    <w:lvl w:ilvl="2">
      <w:start w:val="1"/>
      <w:numFmt w:val="bullet"/>
      <w:suff w:val="tab"/>
      <w:lvlText w:val=""/>
      <w:lvlJc w:val="left"/>
      <w:pPr>
        <w:tabs>
          <w:tab w:val="num" w:pos="2160"/>
        </w:tabs>
        <w:ind w:left="2160" w:hanging="360"/>
      </w:pPr>
      <w:rPr>
        <w:rFonts w:ascii="Wingdings" w:hAnsi="Wingdings" w:cs="Wingdings" w:hint="default"/>
      </w:rPr>
    </w:lvl>
    <w:lvl w:ilvl="3">
      <w:start w:val="1"/>
      <w:numFmt w:val="bullet"/>
      <w:suff w:val="tab"/>
      <w:lvlText w:val=""/>
      <w:lvlJc w:val="left"/>
      <w:pPr>
        <w:tabs>
          <w:tab w:val="num" w:pos="2880"/>
        </w:tabs>
        <w:ind w:left="2880" w:hanging="360"/>
      </w:pPr>
      <w:rPr>
        <w:rFonts w:ascii="Symbol" w:hAnsi="Symbol" w:cs="Symbol" w:hint="default"/>
      </w:rPr>
    </w:lvl>
    <w:lvl w:ilvl="4">
      <w:start w:val="1"/>
      <w:numFmt w:val="bullet"/>
      <w:suff w:val="tab"/>
      <w:lvlText w:val="o"/>
      <w:lvlJc w:val="left"/>
      <w:pPr>
        <w:tabs>
          <w:tab w:val="num" w:pos="3600"/>
        </w:tabs>
        <w:ind w:left="3600" w:hanging="360"/>
      </w:pPr>
      <w:rPr>
        <w:rFonts w:ascii="Courier New" w:hAnsi="Courier New" w:cs="Courier New" w:hint="default"/>
      </w:rPr>
    </w:lvl>
    <w:lvl w:ilvl="5">
      <w:start w:val="1"/>
      <w:numFmt w:val="bullet"/>
      <w:suff w:val="tab"/>
      <w:lvlText w:val=""/>
      <w:lvlJc w:val="left"/>
      <w:pPr>
        <w:tabs>
          <w:tab w:val="num" w:pos="4320"/>
        </w:tabs>
        <w:ind w:left="4320" w:hanging="360"/>
      </w:pPr>
      <w:rPr>
        <w:rFonts w:ascii="Wingdings" w:hAnsi="Wingdings" w:cs="Wingdings" w:hint="default"/>
      </w:rPr>
    </w:lvl>
    <w:lvl w:ilvl="6">
      <w:start w:val="1"/>
      <w:numFmt w:val="bullet"/>
      <w:suff w:val="tab"/>
      <w:lvlText w:val=""/>
      <w:lvlJc w:val="left"/>
      <w:pPr>
        <w:tabs>
          <w:tab w:val="num" w:pos="5040"/>
        </w:tabs>
        <w:ind w:left="5040" w:hanging="360"/>
      </w:pPr>
      <w:rPr>
        <w:rFonts w:ascii="Symbol" w:hAnsi="Symbol" w:cs="Symbol" w:hint="default"/>
      </w:rPr>
    </w:lvl>
    <w:lvl w:ilvl="7">
      <w:start w:val="1"/>
      <w:numFmt w:val="bullet"/>
      <w:suff w:val="tab"/>
      <w:lvlText w:val="o"/>
      <w:lvlJc w:val="left"/>
      <w:pPr>
        <w:tabs>
          <w:tab w:val="num" w:pos="5760"/>
        </w:tabs>
        <w:ind w:left="5760" w:hanging="360"/>
      </w:pPr>
      <w:rPr>
        <w:rFonts w:ascii="Courier New" w:hAnsi="Courier New" w:cs="Courier New" w:hint="default"/>
      </w:rPr>
    </w:lvl>
    <w:lvl w:ilvl="8">
      <w:start w:val="1"/>
      <w:numFmt w:val="bullet"/>
      <w:suff w:val="tab"/>
      <w:lvlText w:val=""/>
      <w:lvlJc w:val="left"/>
      <w:pPr>
        <w:tabs>
          <w:tab w:val="num" w:pos="6480"/>
        </w:tabs>
        <w:ind w:left="6480" w:hanging="360"/>
      </w:pPr>
      <w:rPr>
        <w:rFonts w:ascii="Wingdings" w:hAnsi="Wingdings" w:cs="Wingdings" w:hint="default"/>
      </w:rPr>
    </w:lvl>
  </w:abstractNum>
  <w:num w:numId="1">
    <w:abstractNumId w:val="1"/>
  </w:num>
</w:numbering>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2"/>
        <w:szCs w:val="22"/>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2026-04-29T03:01:35+00:00</dcterms:created>
  <dcterms:modified xsi:type="dcterms:W3CDTF">2026-04-29T03:01:35+00:00</dcterms:modified>
</cp:coreProperties>
</file>

<file path=docProps/custom.xml><?xml version="1.0" encoding="utf-8"?>
<Properties xmlns="http://schemas.openxmlformats.org/officeDocument/2006/custom-properties" xmlns:vt="http://schemas.openxmlformats.org/officeDocument/2006/docPropsVTypes"/>
</file>